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309" w:rsidRDefault="00391092">
      <w:r>
        <w:rPr>
          <w:rFonts w:ascii="Arial" w:hAnsi="Arial" w:cs="Arial"/>
          <w:noProof/>
          <w:color w:val="999999"/>
          <w:sz w:val="20"/>
          <w:szCs w:val="20"/>
          <w:lang w:eastAsia="en-GB"/>
        </w:rPr>
        <w:drawing>
          <wp:inline distT="0" distB="0" distL="0" distR="0">
            <wp:extent cx="5715000" cy="480060"/>
            <wp:effectExtent l="0" t="0" r="0" b="0"/>
            <wp:docPr id="1" name="Picture 1" descr="http://staticapp.icpsc.com/icp/resources/mogile/985508/a59447e2d9edd61ba932185e78972c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app.icpsc.com/icp/resources/mogile/985508/a59447e2d9edd61ba932185e78972c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092" w:rsidRDefault="00391092" w:rsidP="00391092">
      <w:pPr>
        <w:pStyle w:val="NormalWeb"/>
        <w:rPr>
          <w:rFonts w:ascii="Arial" w:hAnsi="Arial" w:cs="Arial"/>
          <w:color w:val="999999"/>
          <w:sz w:val="20"/>
          <w:szCs w:val="20"/>
        </w:rPr>
      </w:pPr>
      <w:r>
        <w:rPr>
          <w:rStyle w:val="Strong"/>
          <w:rFonts w:ascii="Arial" w:hAnsi="Arial" w:cs="Arial"/>
          <w:color w:val="1A001A"/>
          <w:sz w:val="21"/>
          <w:szCs w:val="21"/>
        </w:rPr>
        <w:t>Monday, 11 October 2021</w:t>
      </w:r>
    </w:p>
    <w:p w:rsidR="00391092" w:rsidRDefault="00391092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91092" w:rsidTr="00391092">
        <w:trPr>
          <w:tblCellSpacing w:w="0" w:type="dxa"/>
        </w:trPr>
        <w:tc>
          <w:tcPr>
            <w:tcW w:w="0" w:type="auto"/>
            <w:shd w:val="clear" w:color="auto" w:fill="666666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391092" w:rsidRDefault="00391092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Education Alert: Safeguarding Alert for Squid Game TV series</w:t>
            </w:r>
          </w:p>
        </w:tc>
      </w:tr>
    </w:tbl>
    <w:p w:rsidR="00391092" w:rsidRDefault="00391092"/>
    <w:p w:rsidR="00391092" w:rsidRDefault="00391092" w:rsidP="0039109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Safeguarding Alert - Squid Game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t>Squid Game is a new Korean TV series on Netflix. The plot centres on a group of adult debtors competing against each other in a series of childhood games for a grand cash prize. However, the losing competitors in these games are then violently killed off in ways that grow more twisted as the games progress.  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t>There have been reports from elsewhere in the country of the losing children in playground games then being assaulted in a mimicking of consequences that occur in Squid Game.  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The show is rated 15+, but even if parents/carers had their child’s Netflix account age restricted, clips from the show are also circulating on social media platforms like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TikTok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. This means awareness of the show’s concept is likely to be more widely known than viewers of the show. For further information please click </w:t>
      </w:r>
      <w:hyperlink r:id="rId5" w:history="1">
        <w:r>
          <w:rPr>
            <w:rStyle w:val="Hyperlink"/>
            <w:rFonts w:ascii="Arial" w:eastAsia="Times New Roman" w:hAnsi="Arial" w:cs="Arial"/>
            <w:color w:val="CC0000"/>
            <w:sz w:val="20"/>
            <w:szCs w:val="20"/>
          </w:rPr>
          <w:t>here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hyperlink r:id="rId6" w:history="1">
        <w:proofErr w:type="spellStart"/>
        <w:r>
          <w:rPr>
            <w:rStyle w:val="Hyperlink"/>
            <w:rFonts w:ascii="Arial" w:eastAsia="Times New Roman" w:hAnsi="Arial" w:cs="Arial"/>
            <w:color w:val="CC0000"/>
            <w:sz w:val="20"/>
            <w:szCs w:val="20"/>
          </w:rPr>
          <w:t>LGfL</w:t>
        </w:r>
        <w:proofErr w:type="spellEnd"/>
      </w:hyperlink>
      <w:r>
        <w:rPr>
          <w:rFonts w:ascii="Arial" w:eastAsia="Times New Roman" w:hAnsi="Arial" w:cs="Arial"/>
          <w:color w:val="000000"/>
          <w:sz w:val="20"/>
          <w:szCs w:val="20"/>
        </w:rPr>
        <w:t xml:space="preserve"> have provided advice to schools and </w:t>
      </w:r>
      <w:hyperlink r:id="rId7" w:history="1">
        <w:r>
          <w:rPr>
            <w:rStyle w:val="Hyperlink"/>
            <w:rFonts w:ascii="Arial" w:eastAsia="Times New Roman" w:hAnsi="Arial" w:cs="Arial"/>
            <w:color w:val="CC0000"/>
            <w:sz w:val="20"/>
            <w:szCs w:val="20"/>
          </w:rPr>
          <w:t>CEOP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 xml:space="preserve"> for parents on how to respond to online scares, challenges and hoaxes.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t>Action - Please make sure your safeguarding lead and those responsible for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</w:rPr>
        <w:t xml:space="preserve"> supervising break and lunchtimes in school are aware of this so they can be alert to possible incidents. 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t>Thanks</w:t>
      </w:r>
    </w:p>
    <w:p w:rsidR="00391092" w:rsidRDefault="00391092" w:rsidP="00391092">
      <w:pPr>
        <w:rPr>
          <w:rFonts w:ascii="Arial" w:eastAsia="Times New Roman" w:hAnsi="Arial" w:cs="Arial"/>
          <w:sz w:val="20"/>
          <w:szCs w:val="20"/>
        </w:rPr>
      </w:pPr>
    </w:p>
    <w:p w:rsidR="00391092" w:rsidRDefault="00391092" w:rsidP="0039109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Source: </w:t>
      </w:r>
      <w:hyperlink r:id="rId8" w:history="1">
        <w:r>
          <w:rPr>
            <w:rStyle w:val="Hyperlink"/>
            <w:rFonts w:ascii="Arial" w:eastAsia="Times New Roman" w:hAnsi="Arial" w:cs="Arial"/>
            <w:color w:val="CC0000"/>
            <w:sz w:val="20"/>
            <w:szCs w:val="20"/>
          </w:rPr>
          <w:t>Chris Roberts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>, </w:t>
      </w:r>
      <w:r>
        <w:rPr>
          <w:rFonts w:ascii="Arial" w:eastAsia="Times New Roman" w:hAnsi="Arial" w:cs="Arial"/>
          <w:color w:val="000000"/>
        </w:rPr>
        <w:t>Head of Wellbeing &amp; Education Safeguarding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91092" w:rsidTr="00391092">
        <w:trPr>
          <w:tblCellSpacing w:w="0" w:type="dxa"/>
        </w:trPr>
        <w:tc>
          <w:tcPr>
            <w:tcW w:w="0" w:type="auto"/>
            <w:vAlign w:val="center"/>
            <w:hideMark/>
          </w:tcPr>
          <w:p w:rsidR="00391092" w:rsidRDefault="00391092">
            <w:pPr>
              <w:pStyle w:val="NormalWeb"/>
              <w:rPr>
                <w:rFonts w:ascii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999999"/>
                <w:sz w:val="20"/>
                <w:szCs w:val="20"/>
              </w:rPr>
              <w:drawing>
                <wp:inline distT="0" distB="0" distL="0" distR="0">
                  <wp:extent cx="5715000" cy="495300"/>
                  <wp:effectExtent l="0" t="0" r="0" b="0"/>
                  <wp:docPr id="2" name="Picture 2" descr="http://staticapp.icpsc.com/icp/resources/mogile/985508/059272f8773085bbcbaca683576c3e6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taticapp.icpsc.com/icp/resources/mogile/985508/059272f8773085bbcbaca683576c3e6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092" w:rsidRDefault="00391092">
            <w:pPr>
              <w:pStyle w:val="NormalWeb"/>
              <w:rPr>
                <w:rFonts w:ascii="Arial" w:hAnsi="Arial" w:cs="Arial"/>
                <w:color w:val="999999"/>
                <w:sz w:val="20"/>
                <w:szCs w:val="20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</w:rPr>
              <w:t> </w:t>
            </w:r>
          </w:p>
        </w:tc>
      </w:tr>
    </w:tbl>
    <w:p w:rsidR="00391092" w:rsidRDefault="00391092"/>
    <w:sectPr w:rsidR="003910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92"/>
    <w:rsid w:val="00014309"/>
    <w:rsid w:val="0039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39584"/>
  <w15:chartTrackingRefBased/>
  <w15:docId w15:val="{AD0840C5-8DC8-41FB-9521-5EC6DA15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109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9109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910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.roberts@hackney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hinkuknow.co.uk/parents/articles/theres-a-viral-scare-online-what-should-i-d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feblog.lgfl.net/2018/11/parents-scare-or-prepar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ursaferschools.co.uk/2021/10/08/squid-game/?utm_campaign=Squid%20Game&amp;utm_medium=email&amp;_hsmi=168503067&amp;_hsenc=p2ANqtz-_kXGIG0UllNHAQtSIOJasAXdFzuik-W8NKa-cVIdl2txOcWnni7cKdhWivVQJKLExu4ctjrvxYKuGzv7C8gc_Brz7Lv_vMClXqlr_r_PA55qnpYkc&amp;utm_content=168503067&amp;utm_source=hs_emai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 of Jerusalem C of E Primary School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Efthymiou</dc:creator>
  <cp:keywords/>
  <dc:description/>
  <cp:lastModifiedBy>Christine Efthymiou</cp:lastModifiedBy>
  <cp:revision>1</cp:revision>
  <dcterms:created xsi:type="dcterms:W3CDTF">2021-10-18T12:40:00Z</dcterms:created>
  <dcterms:modified xsi:type="dcterms:W3CDTF">2021-10-18T12:43:00Z</dcterms:modified>
</cp:coreProperties>
</file>